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7D4F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3" w:afterLines="100"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default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央国企CIO选型指南</w:t>
      </w:r>
    </w:p>
    <w:p w14:paraId="225FB2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3" w:afterLines="100"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b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ERP产品选型指标体系</w:t>
      </w:r>
      <w:bookmarkEnd w:id="0"/>
    </w:p>
    <w:tbl>
      <w:tblPr>
        <w:tblStyle w:val="4"/>
        <w:tblW w:w="87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7"/>
        <w:gridCol w:w="1416"/>
        <w:gridCol w:w="6047"/>
      </w:tblGrid>
      <w:tr w14:paraId="46EB3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740" w:type="dxa"/>
            <w:gridSpan w:val="3"/>
            <w:vAlign w:val="center"/>
          </w:tcPr>
          <w:p w14:paraId="2A5C1127">
            <w:pPr>
              <w:jc w:val="center"/>
              <w:rPr>
                <w:rFonts w:hint="default" w:ascii="Times New Roman" w:hAnsi="Times New Roman" w:eastAsia="仿宋_GB2312" w:cs="Times New Roman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央国企CIO选型指南——ERP产品选型指标体系</w:t>
            </w:r>
          </w:p>
        </w:tc>
      </w:tr>
      <w:tr w14:paraId="4D1700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77" w:type="dxa"/>
            <w:vAlign w:val="center"/>
          </w:tcPr>
          <w:p w14:paraId="4B3E7458">
            <w:pPr>
              <w:jc w:val="both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  <w:t>一级指标</w:t>
            </w:r>
          </w:p>
        </w:tc>
        <w:tc>
          <w:tcPr>
            <w:tcW w:w="1416" w:type="dxa"/>
            <w:vAlign w:val="center"/>
          </w:tcPr>
          <w:p w14:paraId="65851578">
            <w:pPr>
              <w:jc w:val="both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  <w:t>二级指标</w:t>
            </w:r>
          </w:p>
        </w:tc>
        <w:tc>
          <w:tcPr>
            <w:tcW w:w="6047" w:type="dxa"/>
            <w:vAlign w:val="center"/>
          </w:tcPr>
          <w:p w14:paraId="2BB79DCC">
            <w:pPr>
              <w:jc w:val="both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  <w:t>指标阐释</w:t>
            </w:r>
          </w:p>
        </w:tc>
      </w:tr>
      <w:tr w14:paraId="490DD6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1277" w:type="dxa"/>
            <w:vMerge w:val="restart"/>
            <w:vAlign w:val="center"/>
          </w:tcPr>
          <w:p w14:paraId="5D01AB88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产品</w:t>
            </w:r>
          </w:p>
        </w:tc>
        <w:tc>
          <w:tcPr>
            <w:tcW w:w="1416" w:type="dxa"/>
            <w:vAlign w:val="center"/>
          </w:tcPr>
          <w:p w14:paraId="531811FA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功能覆盖度</w:t>
            </w:r>
          </w:p>
        </w:tc>
        <w:tc>
          <w:tcPr>
            <w:tcW w:w="6047" w:type="dxa"/>
            <w:vAlign w:val="center"/>
          </w:tcPr>
          <w:p w14:paraId="7BA88D28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包含ERP系统对企业核心业务流程，如采购管理中供应商评估与采购订单处理、生产制造里物料需求计划与生产排程、销售业务的订单跟踪与客户关系维护、财务管理的总账核算与成本控制、人力资源管理的招聘与薪酬管理等功能的涵盖程度；以及对企业特色业务或行业特定业务流程的支持能力，例如电商行业的线上订单处理与物流对接功能等。</w:t>
            </w:r>
          </w:p>
        </w:tc>
      </w:tr>
      <w:tr w14:paraId="1A4587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77" w:type="dxa"/>
            <w:vMerge w:val="continue"/>
            <w:vAlign w:val="center"/>
          </w:tcPr>
          <w:p w14:paraId="076D07A5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7B5BF894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/>
              </w:rPr>
              <w:t>生态整合（灵活性）</w:t>
            </w:r>
          </w:p>
        </w:tc>
        <w:tc>
          <w:tcPr>
            <w:tcW w:w="6047" w:type="dxa"/>
            <w:vAlign w:val="center"/>
          </w:tcPr>
          <w:p w14:paraId="2E0770E1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/>
              </w:rPr>
              <w:t>涵盖ERP系统与企业内部其他信息系统，如CRM系统客户数据的交互、OA系统办公流程的融合；与外部系统，如供应商管理系统、物流配送系统的集成能力。同时包括系统自身流程自定义功能，如工作流的设置、审批环节的调整等，以及对不同数据格式的兼容能力。</w:t>
            </w:r>
          </w:p>
        </w:tc>
      </w:tr>
      <w:tr w14:paraId="5397BF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277" w:type="dxa"/>
            <w:vMerge w:val="continue"/>
            <w:vAlign w:val="center"/>
          </w:tcPr>
          <w:p w14:paraId="50325B34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0E272F15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</w:rPr>
              <w:t>技术先进性</w:t>
            </w:r>
          </w:p>
        </w:tc>
        <w:tc>
          <w:tcPr>
            <w:tcW w:w="6047" w:type="dxa"/>
            <w:vAlign w:val="center"/>
          </w:tcPr>
          <w:p w14:paraId="5CD1A6CC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</w:rPr>
              <w:t>包含系统所采用的底层技术架构，如是否基于微服务架构实现灵活扩展；是否运用云计算技术实现弹性部署与按需付费；是否集成大数据分析技术用于业务数据挖掘与智能决策；是否引入人工智能技术，如智能客服、自动化流程执行等；以及对最新安全技术的应用，保障数据安全。</w:t>
            </w:r>
          </w:p>
        </w:tc>
      </w:tr>
      <w:tr w14:paraId="6246E1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1277" w:type="dxa"/>
            <w:vMerge w:val="continue"/>
            <w:vAlign w:val="center"/>
          </w:tcPr>
          <w:p w14:paraId="0ADA73B1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14C28EEF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价格优势</w:t>
            </w:r>
          </w:p>
        </w:tc>
        <w:tc>
          <w:tcPr>
            <w:tcW w:w="6047" w:type="dxa"/>
            <w:vAlign w:val="center"/>
          </w:tcPr>
          <w:p w14:paraId="4F54E376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涵盖软件授权费用的定价模式，是按用户数、按模块还是按企业规模收费；硬件采购成本（若需配套硬件）；实施费用，包括项目实施团队的服务费用；后期运维成本，如系统维护、升级费用；以及整体成本与系统功能、性能的性价比评估。</w:t>
            </w:r>
          </w:p>
        </w:tc>
      </w:tr>
      <w:tr w14:paraId="2CF633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277" w:type="dxa"/>
            <w:vMerge w:val="continue"/>
            <w:vAlign w:val="center"/>
          </w:tcPr>
          <w:p w14:paraId="1A95293D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37EA0598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用户体验</w:t>
            </w:r>
          </w:p>
        </w:tc>
        <w:tc>
          <w:tcPr>
            <w:tcW w:w="6047" w:type="dxa"/>
            <w:vAlign w:val="center"/>
          </w:tcPr>
          <w:p w14:paraId="0152C10B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包含操作界面的设计是否符合人体工程学，界面布局是否合理、简洁易懂；操作流程是否简化，有无繁琐的操作步骤；是否支持多语言切换，以满足不同地区员工需求；是否适配多种终端设备，如电脑、平板、手机等；以及系统响应速度，是否能快速加载页面与处理业务请求。</w:t>
            </w:r>
          </w:p>
        </w:tc>
      </w:tr>
      <w:tr w14:paraId="3DB438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</w:trPr>
        <w:tc>
          <w:tcPr>
            <w:tcW w:w="1277" w:type="dxa"/>
            <w:vMerge w:val="restart"/>
            <w:vAlign w:val="center"/>
          </w:tcPr>
          <w:p w14:paraId="4BDF3077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企业自身素质</w:t>
            </w:r>
          </w:p>
        </w:tc>
        <w:tc>
          <w:tcPr>
            <w:tcW w:w="1416" w:type="dxa"/>
            <w:vAlign w:val="center"/>
          </w:tcPr>
          <w:p w14:paraId="72CD2D3E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企业基本资料</w:t>
            </w:r>
          </w:p>
        </w:tc>
        <w:tc>
          <w:tcPr>
            <w:tcW w:w="6047" w:type="dxa"/>
            <w:vAlign w:val="center"/>
          </w:tcPr>
          <w:p w14:paraId="46FDE06D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包含企业名称、办公地址、成立时间、是否上市、企业员工数、企业文化，包括企业价值观、使命与愿景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等</w:t>
            </w:r>
          </w:p>
        </w:tc>
      </w:tr>
      <w:tr w14:paraId="606B14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1277" w:type="dxa"/>
            <w:vMerge w:val="continue"/>
            <w:vAlign w:val="center"/>
          </w:tcPr>
          <w:p w14:paraId="68F79845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6173DCA7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公司财务实力</w:t>
            </w:r>
          </w:p>
        </w:tc>
        <w:tc>
          <w:tcPr>
            <w:tcW w:w="6047" w:type="dxa"/>
            <w:vAlign w:val="center"/>
          </w:tcPr>
          <w:p w14:paraId="3492CACF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包含注册资本、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总资产、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营业收入、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营业支出、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净利润等</w:t>
            </w:r>
          </w:p>
        </w:tc>
      </w:tr>
      <w:tr w14:paraId="4425BE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1277" w:type="dxa"/>
            <w:vMerge w:val="continue"/>
            <w:vAlign w:val="center"/>
          </w:tcPr>
          <w:p w14:paraId="6DAB876F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1000F6A1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研发和资质</w:t>
            </w:r>
          </w:p>
        </w:tc>
        <w:tc>
          <w:tcPr>
            <w:tcW w:w="6047" w:type="dxa"/>
            <w:vAlign w:val="center"/>
          </w:tcPr>
          <w:p w14:paraId="2F5EBE0F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包括研发人员占比，信息化投入占年营业收入比重，专利软著，入选权威机构榜单情况，DCMM、CMMI、ISO9001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认证情况，国家级、省级奖项获得情况，国家级、地市级、行业标准参与情况</w:t>
            </w:r>
          </w:p>
        </w:tc>
      </w:tr>
      <w:tr w14:paraId="2ED2BD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77" w:type="dxa"/>
            <w:vMerge w:val="continue"/>
            <w:vAlign w:val="center"/>
          </w:tcPr>
          <w:p w14:paraId="26388008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35786298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业务范围</w:t>
            </w:r>
          </w:p>
        </w:tc>
        <w:tc>
          <w:tcPr>
            <w:tcW w:w="6047" w:type="dxa"/>
            <w:vAlign w:val="center"/>
          </w:tcPr>
          <w:p w14:paraId="5FA9EB03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业务范围指业务覆盖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国内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哪些省份，包含国外哪些国家</w:t>
            </w:r>
          </w:p>
        </w:tc>
      </w:tr>
      <w:tr w14:paraId="1FC355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77" w:type="dxa"/>
            <w:vMerge w:val="continue"/>
            <w:vAlign w:val="center"/>
          </w:tcPr>
          <w:p w14:paraId="23289AD1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4199C4C7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签订客户合同收入</w:t>
            </w:r>
          </w:p>
        </w:tc>
        <w:tc>
          <w:tcPr>
            <w:tcW w:w="6047" w:type="dxa"/>
            <w:vAlign w:val="center"/>
          </w:tcPr>
          <w:p w14:paraId="610CB1B4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指ERP供应商在一定时期内，通过与客户签订销售合同所获取的收入金额总和</w:t>
            </w:r>
          </w:p>
        </w:tc>
      </w:tr>
      <w:tr w14:paraId="4FFEEC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1277" w:type="dxa"/>
            <w:vMerge w:val="continue"/>
            <w:vAlign w:val="center"/>
          </w:tcPr>
          <w:p w14:paraId="0418774A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4E26AA8A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客户规模</w:t>
            </w:r>
          </w:p>
        </w:tc>
        <w:tc>
          <w:tcPr>
            <w:tcW w:w="6047" w:type="dxa"/>
            <w:vAlign w:val="center"/>
          </w:tcPr>
          <w:p w14:paraId="74DAD78C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包含客户总数，央国企客户数、行业龙头数、中小微企业数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等</w:t>
            </w:r>
          </w:p>
        </w:tc>
      </w:tr>
      <w:tr w14:paraId="6C49FE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1277" w:type="dxa"/>
            <w:vMerge w:val="restart"/>
            <w:vAlign w:val="center"/>
          </w:tcPr>
          <w:p w14:paraId="0D7E5D9B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服务</w:t>
            </w:r>
          </w:p>
        </w:tc>
        <w:tc>
          <w:tcPr>
            <w:tcW w:w="1416" w:type="dxa"/>
            <w:vAlign w:val="center"/>
          </w:tcPr>
          <w:p w14:paraId="469F263B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实施周期</w:t>
            </w:r>
          </w:p>
        </w:tc>
        <w:tc>
          <w:tcPr>
            <w:tcW w:w="6047" w:type="dxa"/>
            <w:vAlign w:val="center"/>
          </w:tcPr>
          <w:p w14:paraId="2A78ECAA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即从ERP项目启动到正式上线运行所花费的时间。</w:t>
            </w:r>
          </w:p>
        </w:tc>
      </w:tr>
      <w:tr w14:paraId="2D7DB7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1277" w:type="dxa"/>
            <w:vMerge w:val="continue"/>
            <w:vAlign w:val="center"/>
          </w:tcPr>
          <w:p w14:paraId="55E122A7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44140DD9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售后服务</w:t>
            </w:r>
          </w:p>
        </w:tc>
        <w:tc>
          <w:tcPr>
            <w:tcW w:w="6047" w:type="dxa"/>
            <w:vAlign w:val="center"/>
          </w:tcPr>
          <w:p w14:paraId="5FDBB54A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涵盖系统日常运维保障、故障快速处理以及定期系统升级服务等，还包括售后服务的方式，如线上、线下、线上下结合）</w:t>
            </w:r>
          </w:p>
        </w:tc>
      </w:tr>
      <w:tr w14:paraId="28650D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277" w:type="dxa"/>
            <w:vMerge w:val="continue"/>
            <w:vAlign w:val="center"/>
          </w:tcPr>
          <w:p w14:paraId="31875E70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6" w:type="dxa"/>
            <w:vAlign w:val="center"/>
          </w:tcPr>
          <w:p w14:paraId="4E297ED7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技术支持</w:t>
            </w:r>
          </w:p>
        </w:tc>
        <w:tc>
          <w:tcPr>
            <w:tcW w:w="6047" w:type="dxa"/>
            <w:vAlign w:val="center"/>
          </w:tcPr>
          <w:p w14:paraId="701A62EA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指ERP产品供应商通过线上线下的方式，为客户提供的一系列技术相关服务，在ERP系统的选型、使用及后续维护过程中的关键作用</w:t>
            </w:r>
          </w:p>
        </w:tc>
      </w:tr>
      <w:tr w14:paraId="253FCB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8740" w:type="dxa"/>
            <w:gridSpan w:val="3"/>
            <w:vAlign w:val="center"/>
          </w:tcPr>
          <w:p w14:paraId="750AFCB2"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4"/>
                <w:szCs w:val="24"/>
                <w:vertAlign w:val="baseline"/>
                <w:lang w:val="en-US" w:eastAsia="zh-CN"/>
              </w:rPr>
              <w:t>备注：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组委会将根据每个问题的得分，计算总评分，满分100分，并根据以下标准对ERP产品进行评级：A级(卓越)：总评分≥85%；B级(良好)：75%≤总评分&lt;85%；C级(一般):60%≤总评分&lt;75%；D级(较弱):总评分&lt;60%。请注意，以上指标体系与评级标准仅供参考，具体评估还需结合企业的实际情况和背景进行综合分析。同时，建议企业在评估过程中保持客观、公正态度，确保评估结果的准确性和可靠性。</w:t>
            </w:r>
          </w:p>
        </w:tc>
      </w:tr>
    </w:tbl>
    <w:p w14:paraId="5257E2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3" w:afterLines="100" w:line="560" w:lineRule="exact"/>
        <w:jc w:val="left"/>
        <w:textAlignment w:val="auto"/>
        <w:rPr>
          <w:rFonts w:hint="default" w:ascii="Times New Roman" w:hAnsi="Times New Roman" w:eastAsia="方正小标宋简体" w:cs="Times New Roman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 w14:paraId="7B80896D"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B509F2">
    <w:pPr>
      <w:pStyle w:val="2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B51135"/>
    <w:rsid w:val="27B5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2025-03-04T02:33:00Z</dcterms:created>
  <dc:creator>Ai_y-w</dc:creator>
  <cp:lastModifiedBy>Ai_y-w</cp:lastModifiedBy>
  <dcterms:modified xsi:type="dcterms:W3CDTF">2025-03-04T02:33:47Z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FA5E7C124EC24A1EA494EE78DA8D2B57_11</vt:lpwstr>
  </property>
  <property fmtid="{D5CDD505-2E9C-101B-9397-08002B2CF9AE}" pid="4" name="KSOTemplateDocerSaveRecord">
    <vt:lpwstr>eyJoZGlkIjoiNTRmN2M2ZTlhZGVmMmZlMDZhM2YzNDRkZjE2ZDVkNTMiLCJ1c2VySWQiOiIyMDM4NDkxMjcifQ==</vt:lpwstr>
  </property>
</Properties>
</file>